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59" w:rsidRPr="00056DCA" w:rsidRDefault="00B76659" w:rsidP="00B76659">
      <w:pPr>
        <w:rPr>
          <w:rFonts w:ascii="Times New Roman" w:hAnsi="Times New Roman"/>
          <w:b/>
          <w:sz w:val="24"/>
          <w:szCs w:val="24"/>
          <w:lang w:eastAsia="en-GB"/>
        </w:rPr>
      </w:pPr>
      <w:r w:rsidRPr="00056DCA">
        <w:rPr>
          <w:rFonts w:ascii="Times New Roman" w:hAnsi="Times New Roman"/>
          <w:b/>
          <w:sz w:val="24"/>
          <w:szCs w:val="24"/>
          <w:lang w:eastAsia="en-GB"/>
        </w:rPr>
        <w:t xml:space="preserve">ICBE in </w:t>
      </w:r>
      <w:proofErr w:type="spellStart"/>
      <w:r w:rsidRPr="00056DCA">
        <w:rPr>
          <w:rFonts w:ascii="Times New Roman" w:hAnsi="Times New Roman"/>
          <w:b/>
          <w:sz w:val="24"/>
          <w:szCs w:val="24"/>
          <w:lang w:eastAsia="en-GB"/>
        </w:rPr>
        <w:t>Zahlen</w:t>
      </w:r>
      <w:proofErr w:type="spellEnd"/>
      <w:r w:rsidRPr="00056DCA">
        <w:rPr>
          <w:rFonts w:ascii="Times New Roman" w:hAnsi="Times New Roman"/>
          <w:b/>
          <w:sz w:val="24"/>
          <w:szCs w:val="24"/>
          <w:lang w:eastAsia="en-GB"/>
        </w:rPr>
        <w:t xml:space="preserve"> - 2005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gibt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ganzen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Welt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etwa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193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die von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Benediktinern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oder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Zisterziensern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betrieben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Insgesamt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dort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ungefähr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8150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circa 131 000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Schülerinnen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Von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insgesamt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knappes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Zehntel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klösterliche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Lehrkräfte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Zahlenmäßig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weitaus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größte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immer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 xml:space="preserve">Europa 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betrieben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Gleichzeitig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habe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dieser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Folie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versucht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machen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unser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Informationsstand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bezüglich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Wenn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unserer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Datenbank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bzw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der Website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führen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bedeutet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das,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minimal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Namen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sowie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den Ort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wissen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meistens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mehr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Details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Adresse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Beispielhaft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habe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nachgesehen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vielen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dieser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Information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;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dieser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Grafik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"with information"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gekennzeichnet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Man muss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darüber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klar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sein,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z.B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Informationen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Schultyp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bzw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Frage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ob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um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koedukative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handelt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geringeren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vorhanden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Außerdem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Information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darüber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aktuell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jeweils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vorhandenen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Distribution of Schools by Continent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Sowohl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was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Lehrer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angeht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seit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letzten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Konferenz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Sao Paulo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Steigerung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vermelden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r w:rsidRPr="00056DCA">
        <w:rPr>
          <w:rFonts w:ascii="Times New Roman" w:hAnsi="Times New Roman"/>
          <w:sz w:val="24"/>
          <w:szCs w:val="24"/>
          <w:lang w:eastAsia="en-GB"/>
        </w:rPr>
        <w:tab/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 xml:space="preserve">In 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gibt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Tradition,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Benediktinerschulen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Internatsschulen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betreiben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Zumindest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für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Deutschland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kann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sagen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letzen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zwei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Jahrzehnten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Trend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Eltern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gegeben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hat,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ihr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Kind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Internatsschule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sondern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Tagesschule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In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Folge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viele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Internatsschulen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zumindest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für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Tagesschüler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geöffnet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sogar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Tagesschulen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umgewandelt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worden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Nennenswerte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Anteile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Internatsschulen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gibt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heute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Europa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Nordamerika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engem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Zusammenhang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damit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muss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Frage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Koeduaktion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gesehen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reine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Internatsschule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der Regel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koedukative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geführt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r w:rsidRPr="00056DCA">
        <w:rPr>
          <w:rFonts w:ascii="Times New Roman" w:hAnsi="Times New Roman"/>
          <w:sz w:val="24"/>
          <w:szCs w:val="24"/>
          <w:lang w:eastAsia="en-GB"/>
        </w:rPr>
        <w:tab/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Day School or Boarding School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Wichtig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für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Interpetation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Grafik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Information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Frage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Koedukation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vorliegt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nicht-koedukative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geführt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lastRenderedPageBreak/>
        <w:t>Daher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kann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man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sagen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Australien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Typ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koedukativen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überwiegt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in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anderen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Kontinenten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koedukative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zumindest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gleich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häufig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bzw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in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Überzahl</w:t>
      </w:r>
      <w:proofErr w:type="spellEnd"/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Coeducation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 xml:space="preserve">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Frage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ob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hauptsächlich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Jungen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oder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Mädchen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Ordensschulen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hat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wesentlich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Ordensgeschichte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einzelnen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Kontinenten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tun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Während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Australien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fast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ausschließlich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Mädchen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anderen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Kontinenten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das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Verhältnis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annähernd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ausgegeglichen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;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Jungenanteil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Südamerika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am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größten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r w:rsidRPr="00056DCA">
        <w:rPr>
          <w:rFonts w:ascii="Times New Roman" w:hAnsi="Times New Roman"/>
          <w:sz w:val="24"/>
          <w:szCs w:val="24"/>
          <w:lang w:eastAsia="en-GB"/>
        </w:rPr>
        <w:tab/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Percentages of female and male Pupils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Obwohl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meisten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betrieben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werden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ändert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das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Bild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wenn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man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zugrundelegt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Jetzt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sieht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man,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insbesondere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durch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großen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Schuleinheiten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Philippinen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größte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Benediktiner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-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Zisterzienserschulen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zuhause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 xml:space="preserve">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spielt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dieser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Hinsicht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untergeordnete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zweitrangige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Rolle.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ab/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Number of Pupils per Continent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unterrichtenden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Lehrerinnen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und Lehrer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trotz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geringeren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wieder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führend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beachten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außerdem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trotz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sehr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unterschiedlicher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Lehrenden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Nordamerika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etwa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gleich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groß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sein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scheint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Allerdings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muss man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hier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sehen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,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Angaben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Datenbank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relativ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unvollständig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Wirklichkeit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Lehrer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Südamerika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und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höher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sein. Was in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Datenbank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unzureichend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berücksichtigt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Tatsache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verschiedenen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Ländern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Vollbeschäftigten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Lehrenden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unterschiedlich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Interessant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einmal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Relation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sowie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Lehrer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sehen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: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Number of Teachers per Continent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Hier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wird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unterschiedlich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Schulsysteme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Europa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Nordamerika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besonders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Vergleich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Südamerika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In 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herrschen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kleine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Einheiten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mit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durchschnittlichen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etwa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um 500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während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Schulkomplexe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allem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größer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sind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Grund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dafür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liegt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unterschiedlichen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Spezialisierungsgrad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Während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Reihe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Europa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nur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wenige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Altersstufen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umfassen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z.B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von 6 - 10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Jahren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typische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Primarschule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oder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11-18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Jahren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Sekundarschule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um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einmal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deutschen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Bezeichnungen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gebrauchen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umfassen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Schulsystem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z.B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auf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Philippinen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unseren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Angaben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zufolge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der Regel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alle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Altersstufen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4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bis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20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Jahren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Average Number of Pupils per School</w:t>
      </w: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lastRenderedPageBreak/>
        <w:t>Diese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Graphik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provozierend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so,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direkt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Datenbank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ergibt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Gott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Dank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falsch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Grund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darin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suchen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dass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bei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überproportional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großen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Anteil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von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Afrika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Asien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Südamerika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zwar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Informationen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Schülerzahl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nicht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über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Zahl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Lehrern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vorliegen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 xml:space="preserve">Auf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diese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Weise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kommt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hoher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Quotient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zustande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>.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Trotzdem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ist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dargestellte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Trend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richtig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: Die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Lehrerversorgung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der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Schulen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Australien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Europa und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Nordamerika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bewegt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sich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auf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einem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annähernd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gleichen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zufriedenstellenden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Niveau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während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den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anderen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Kontinenten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insbesondere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in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Afrika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noch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deutlicher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Verbesserungsbedarf</w:t>
      </w:r>
      <w:proofErr w:type="spell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besteht</w:t>
      </w:r>
      <w:proofErr w:type="spellEnd"/>
    </w:p>
    <w:p w:rsidR="00B76659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r w:rsidRPr="00056DCA">
        <w:rPr>
          <w:rFonts w:ascii="Times New Roman" w:hAnsi="Times New Roman"/>
          <w:sz w:val="24"/>
          <w:szCs w:val="24"/>
          <w:lang w:eastAsia="en-GB"/>
        </w:rPr>
        <w:t>Average Number of Pupils per Teacher</w:t>
      </w:r>
    </w:p>
    <w:p w:rsidR="00B76659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</w:p>
    <w:p w:rsidR="00B76659" w:rsidRPr="00056DCA" w:rsidRDefault="00B76659" w:rsidP="00B76659">
      <w:pPr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056DCA">
        <w:rPr>
          <w:rFonts w:ascii="Times New Roman" w:hAnsi="Times New Roman"/>
          <w:sz w:val="24"/>
          <w:szCs w:val="24"/>
          <w:lang w:eastAsia="en-GB"/>
        </w:rPr>
        <w:t>Heinz-J.</w:t>
      </w:r>
      <w:proofErr w:type="gramEnd"/>
      <w:r w:rsidRPr="00056DC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56DCA">
        <w:rPr>
          <w:rFonts w:ascii="Times New Roman" w:hAnsi="Times New Roman"/>
          <w:sz w:val="24"/>
          <w:szCs w:val="24"/>
          <w:lang w:eastAsia="en-GB"/>
        </w:rPr>
        <w:t>Plugge</w:t>
      </w:r>
      <w:proofErr w:type="spellEnd"/>
    </w:p>
    <w:p w:rsidR="007126D2" w:rsidRPr="00B76659" w:rsidRDefault="007126D2" w:rsidP="00B76659">
      <w:bookmarkStart w:id="0" w:name="_GoBack"/>
      <w:bookmarkEnd w:id="0"/>
    </w:p>
    <w:sectPr w:rsidR="007126D2" w:rsidRPr="00B76659" w:rsidSect="003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B2" w:rsidRDefault="00DA6AB2" w:rsidP="00C533D8">
      <w:pPr>
        <w:spacing w:after="0" w:line="240" w:lineRule="auto"/>
      </w:pPr>
      <w:r>
        <w:separator/>
      </w:r>
    </w:p>
  </w:endnote>
  <w:endnote w:type="continuationSeparator" w:id="0">
    <w:p w:rsidR="00DA6AB2" w:rsidRDefault="00DA6AB2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B7665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DA6AB2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B7665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DA6AB2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B2" w:rsidRDefault="00DA6AB2" w:rsidP="00C533D8">
      <w:pPr>
        <w:spacing w:after="0" w:line="240" w:lineRule="auto"/>
      </w:pPr>
      <w:r>
        <w:separator/>
      </w:r>
    </w:p>
  </w:footnote>
  <w:footnote w:type="continuationSeparator" w:id="0">
    <w:p w:rsidR="00DA6AB2" w:rsidRDefault="00DA6AB2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F19CF"/>
    <w:rsid w:val="005168C5"/>
    <w:rsid w:val="005201B7"/>
    <w:rsid w:val="005207C4"/>
    <w:rsid w:val="00530032"/>
    <w:rsid w:val="00576903"/>
    <w:rsid w:val="005A5734"/>
    <w:rsid w:val="005B5C7F"/>
    <w:rsid w:val="006466AD"/>
    <w:rsid w:val="00667CC6"/>
    <w:rsid w:val="006C1A44"/>
    <w:rsid w:val="006C4DB8"/>
    <w:rsid w:val="006D654C"/>
    <w:rsid w:val="006D714C"/>
    <w:rsid w:val="006E28A8"/>
    <w:rsid w:val="007126D2"/>
    <w:rsid w:val="00732479"/>
    <w:rsid w:val="00762AE3"/>
    <w:rsid w:val="00791E93"/>
    <w:rsid w:val="007C187A"/>
    <w:rsid w:val="007D26BE"/>
    <w:rsid w:val="007D755B"/>
    <w:rsid w:val="007F7248"/>
    <w:rsid w:val="008B16EC"/>
    <w:rsid w:val="00905782"/>
    <w:rsid w:val="0094279D"/>
    <w:rsid w:val="009838D3"/>
    <w:rsid w:val="009C5F1D"/>
    <w:rsid w:val="00A0135A"/>
    <w:rsid w:val="00A17408"/>
    <w:rsid w:val="00A559BE"/>
    <w:rsid w:val="00A5705E"/>
    <w:rsid w:val="00AA2811"/>
    <w:rsid w:val="00AC371E"/>
    <w:rsid w:val="00B32D5A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3</Pages>
  <Words>1031</Words>
  <Characters>4704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2015-07-09T11:54:00Z</dcterms:created>
  <dcterms:modified xsi:type="dcterms:W3CDTF">2015-07-09T11:54:00Z</dcterms:modified>
</cp:coreProperties>
</file>